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Over a year ago Al Tonetti asked me to offer a few comments about the beginnings of the Ohio Archaeological Council.  I</w:t>
      </w:r>
      <w:r>
        <w:rPr>
          <w:rtl w:val="0"/>
        </w:rPr>
        <w:t>’</w:t>
      </w:r>
      <w:r>
        <w:rPr>
          <w:rtl w:val="0"/>
        </w:rPr>
        <w:t>m honored to have played a part in starting what has become a significant agent for understanding and interpreting millennia of human activity in that state</w:t>
      </w:r>
      <w:r>
        <w:rPr>
          <w:rFonts w:ascii="Helvetica Neue" w:cs="Helvetica Neue" w:hAnsi="Helvetica Neue" w:eastAsia="Helvetica Neue"/>
          <w:b w:val="0"/>
          <w:bCs w:val="0"/>
          <w:i w:val="0"/>
          <w:iCs w:val="0"/>
          <w:vertAlign w:val="superscript"/>
        </w:rPr>
        <w:footnoteReference w:id="1"/>
      </w:r>
      <w:r>
        <w:rPr>
          <w:rtl w:val="0"/>
        </w:rPr>
        <w:t xml:space="preserve">. </w:t>
      </w:r>
    </w:p>
    <w:p>
      <w:pPr>
        <w:pStyle w:val="Body"/>
        <w:bidi w:val="0"/>
      </w:pPr>
      <w:r>
        <w:rPr>
          <w:rtl w:val="0"/>
        </w:rPr>
        <w:t>But as my title suggests, th</w:t>
      </w:r>
      <w:r>
        <w:rPr>
          <w:rtl w:val="0"/>
        </w:rPr>
        <w:t>ese are</w:t>
      </w:r>
      <w:r>
        <w:rPr>
          <w:rtl w:val="0"/>
        </w:rPr>
        <w:t xml:space="preserve"> </w:t>
      </w:r>
      <w:r>
        <w:rPr>
          <w:rtl w:val="0"/>
        </w:rPr>
        <w:t>my</w:t>
      </w:r>
      <w:r>
        <w:rPr>
          <w:rtl w:val="0"/>
        </w:rPr>
        <w:t xml:space="preserve"> </w:t>
      </w:r>
      <w:r>
        <w:rPr>
          <w:rtl w:val="0"/>
        </w:rPr>
        <w:t>recollections</w:t>
      </w:r>
      <w:r>
        <w:rPr>
          <w:rtl w:val="0"/>
        </w:rPr>
        <w:t xml:space="preserve">, not </w:t>
      </w:r>
      <w:r>
        <w:rPr>
          <w:rtl w:val="0"/>
        </w:rPr>
        <w:t xml:space="preserve">objective </w:t>
      </w:r>
      <w:r>
        <w:rPr>
          <w:rtl w:val="0"/>
        </w:rPr>
        <w:t>history</w:t>
      </w:r>
      <w:r>
        <w:rPr>
          <w:rtl w:val="0"/>
        </w:rPr>
        <w:t xml:space="preserve">. I was taking no records; rather in many ways, I was like the coach who rearranges the riders </w:t>
      </w:r>
      <w:r>
        <w:rPr>
          <w:rtl w:val="0"/>
        </w:rPr>
        <w:t xml:space="preserve">at the top of the hill </w:t>
      </w:r>
      <w:r>
        <w:rPr>
          <w:rtl w:val="0"/>
        </w:rPr>
        <w:t>and gives them a shove to start a long and exciting toboggan run.  So here, I</w:t>
      </w:r>
      <w:r>
        <w:rPr>
          <w:rtl w:val="0"/>
        </w:rPr>
        <w:t>’</w:t>
      </w:r>
      <w:r>
        <w:rPr>
          <w:rtl w:val="0"/>
        </w:rPr>
        <w:t>ll try to offer my thoughts on some of the conditions that moved me to call for that new arrangement and on some of the effort behind that initial push.</w:t>
      </w:r>
    </w:p>
    <w:p>
      <w:pPr>
        <w:pStyle w:val="Body"/>
        <w:bidi w:val="0"/>
      </w:pPr>
    </w:p>
    <w:p>
      <w:pPr>
        <w:pStyle w:val="Body"/>
        <w:bidi w:val="0"/>
      </w:pPr>
      <w:r>
        <w:rPr>
          <w:rtl w:val="0"/>
        </w:rPr>
        <w:t xml:space="preserve">Although </w:t>
      </w:r>
      <w:r>
        <w:rPr>
          <w:rtl w:val="0"/>
        </w:rPr>
        <w:t>my first two</w:t>
      </w:r>
      <w:r>
        <w:rPr>
          <w:rtl w:val="0"/>
          <w:lang w:val="it-IT"/>
        </w:rPr>
        <w:t xml:space="preserve"> professional</w:t>
      </w:r>
      <w:r>
        <w:rPr>
          <w:rtl w:val="0"/>
        </w:rPr>
        <w:t xml:space="preserve"> </w:t>
      </w:r>
      <w:r>
        <w:rPr>
          <w:rtl w:val="0"/>
        </w:rPr>
        <w:t>decades</w:t>
      </w:r>
      <w:r>
        <w:rPr>
          <w:rtl w:val="0"/>
        </w:rPr>
        <w:t xml:space="preserve"> were</w:t>
      </w:r>
      <w:r>
        <w:rPr>
          <w:rtl w:val="0"/>
        </w:rPr>
        <w:t xml:space="preserve"> as a</w:t>
      </w:r>
      <w:r>
        <w:rPr>
          <w:rtl w:val="0"/>
        </w:rPr>
        <w:t>n academic</w:t>
      </w:r>
      <w:r>
        <w:rPr>
          <w:rtl w:val="0"/>
        </w:rPr>
        <w:t xml:space="preserve"> archaeologist,</w:t>
      </w:r>
      <w:r>
        <w:rPr>
          <w:rtl w:val="0"/>
        </w:rPr>
        <w:t xml:space="preserve"> </w:t>
      </w:r>
      <w:r>
        <w:rPr>
          <w:rtl w:val="0"/>
        </w:rPr>
        <w:t xml:space="preserve">I spent </w:t>
      </w:r>
      <w:r>
        <w:rPr>
          <w:rtl w:val="0"/>
        </w:rPr>
        <w:t>the next three</w:t>
      </w:r>
      <w:r>
        <w:rPr>
          <w:rtl w:val="0"/>
        </w:rPr>
        <w:t xml:space="preserve"> as the </w:t>
      </w:r>
      <w:r>
        <w:rPr>
          <w:rtl w:val="0"/>
        </w:rPr>
        <w:t xml:space="preserve">department chair and </w:t>
      </w:r>
      <w:r>
        <w:rPr>
          <w:rtl w:val="0"/>
        </w:rPr>
        <w:t xml:space="preserve">director of </w:t>
      </w:r>
      <w:r>
        <w:rPr>
          <w:rtl w:val="0"/>
        </w:rPr>
        <w:t xml:space="preserve">three </w:t>
      </w:r>
      <w:r>
        <w:rPr>
          <w:rtl w:val="0"/>
        </w:rPr>
        <w:t>museums and a science institute in Ontario, North Carolina, and Michigan</w:t>
      </w:r>
      <w:r>
        <w:rPr>
          <w:rtl w:val="0"/>
        </w:rPr>
        <w:t>.  Those positions</w:t>
      </w:r>
      <w:r>
        <w:rPr>
          <w:rtl w:val="0"/>
        </w:rPr>
        <w:t xml:space="preserve"> overlapped decades as a strategic consultant for governmental age</w:t>
      </w:r>
      <w:r>
        <w:rPr>
          <w:rtl w:val="0"/>
        </w:rPr>
        <w:t>n</w:t>
      </w:r>
      <w:r>
        <w:rPr>
          <w:rtl w:val="0"/>
        </w:rPr>
        <w:t xml:space="preserve">cies and NGOs.  </w:t>
      </w:r>
      <w:r>
        <w:rPr>
          <w:rtl w:val="0"/>
        </w:rPr>
        <w:t xml:space="preserve">So my </w:t>
      </w:r>
      <w:r>
        <w:rPr>
          <w:rtl w:val="0"/>
        </w:rPr>
        <w:t>recollections of the OAC</w:t>
      </w:r>
      <w:r>
        <w:rPr>
          <w:rtl w:val="0"/>
        </w:rPr>
        <w:t>’</w:t>
      </w:r>
      <w:r>
        <w:rPr>
          <w:rtl w:val="0"/>
        </w:rPr>
        <w:t>s creation and early development are colored by the circumstances of classroom, field, and the lab</w:t>
      </w:r>
      <w:r>
        <w:rPr>
          <w:rtl w:val="0"/>
        </w:rPr>
        <w:t xml:space="preserve">; and by </w:t>
      </w:r>
      <w:r>
        <w:rPr>
          <w:rtl w:val="0"/>
        </w:rPr>
        <w:t>manag</w:t>
      </w:r>
      <w:r>
        <w:rPr>
          <w:rtl w:val="0"/>
        </w:rPr>
        <w:t xml:space="preserve">erial </w:t>
      </w:r>
      <w:r>
        <w:rPr>
          <w:rtl w:val="0"/>
          <w:lang w:val="fr-FR"/>
        </w:rPr>
        <w:t>perspectives</w:t>
      </w:r>
      <w:r>
        <w:rPr>
          <w:rtl w:val="0"/>
        </w:rPr>
        <w:t>, too</w:t>
      </w:r>
      <w:r>
        <w:rPr>
          <w:rtl w:val="0"/>
        </w:rPr>
        <w:t>.</w:t>
      </w:r>
    </w:p>
    <w:p>
      <w:pPr>
        <w:pStyle w:val="Body"/>
        <w:bidi w:val="0"/>
      </w:pPr>
    </w:p>
    <w:p>
      <w:pPr>
        <w:pStyle w:val="Body"/>
        <w:bidi w:val="0"/>
      </w:pPr>
      <w:r>
        <w:rPr>
          <w:rtl w:val="0"/>
        </w:rPr>
        <w:t>In the summer of 1968 I arrived in Cleveland with a wife, a baby, a 30-year mortgage</w:t>
      </w:r>
      <w:r>
        <w:rPr>
          <w:rtl w:val="0"/>
        </w:rPr>
        <w:t>,</w:t>
      </w:r>
      <w:r>
        <w:rPr>
          <w:rtl w:val="0"/>
        </w:rPr>
        <w:t xml:space="preserve"> and the news that my first paycheck wouldn</w:t>
      </w:r>
      <w:r>
        <w:rPr>
          <w:rtl w:val="0"/>
        </w:rPr>
        <w:t>’</w:t>
      </w:r>
      <w:r>
        <w:rPr>
          <w:rtl w:val="0"/>
        </w:rPr>
        <w:t>t come until the end of the first month of the fall semester</w:t>
      </w:r>
      <w:r>
        <w:rPr>
          <w:rtl w:val="0"/>
        </w:rPr>
        <w:t xml:space="preserve"> at </w:t>
      </w:r>
      <w:r>
        <w:rPr>
          <w:rtl w:val="0"/>
          <w:lang w:val="de-DE"/>
        </w:rPr>
        <w:t>Case Western Reserve University.</w:t>
      </w:r>
      <w:r>
        <w:rPr>
          <w:rtl w:val="0"/>
        </w:rPr>
        <w:t xml:space="preserve">  And </w:t>
      </w:r>
      <w:r>
        <w:rPr>
          <w:rtl w:val="0"/>
        </w:rPr>
        <w:t xml:space="preserve">I was less than enthused to </w:t>
      </w:r>
      <w:r>
        <w:rPr>
          <w:rtl w:val="0"/>
        </w:rPr>
        <w:t xml:space="preserve">learn </w:t>
      </w:r>
      <w:r>
        <w:rPr>
          <w:rtl w:val="0"/>
        </w:rPr>
        <w:t>few weeks after I had taken the job</w:t>
      </w:r>
      <w:r>
        <w:rPr>
          <w:rtl w:val="0"/>
        </w:rPr>
        <w:t xml:space="preserve"> that I was</w:t>
      </w:r>
      <w:r>
        <w:rPr>
          <w:rtl w:val="0"/>
        </w:rPr>
        <w:t xml:space="preserve"> one of three eastern North American archaeologists at the newly reconstitute</w:t>
      </w:r>
      <w:r>
        <w:rPr>
          <w:rtl w:val="0"/>
        </w:rPr>
        <w:t>d</w:t>
      </w:r>
      <w:r>
        <w:rPr>
          <w:rtl w:val="0"/>
        </w:rPr>
        <w:t xml:space="preserve"> anthropology department</w:t>
      </w:r>
      <w:r>
        <w:rPr>
          <w:rtl w:val="0"/>
        </w:rPr>
        <w:t xml:space="preserve"> and </w:t>
      </w:r>
      <w:r>
        <w:rPr>
          <w:rtl w:val="0"/>
        </w:rPr>
        <w:t xml:space="preserve">was relieved </w:t>
      </w:r>
      <w:r>
        <w:rPr>
          <w:rtl w:val="0"/>
        </w:rPr>
        <w:t xml:space="preserve">when </w:t>
      </w:r>
      <w:r>
        <w:rPr>
          <w:rtl w:val="0"/>
          <w:lang w:val="de-DE"/>
        </w:rPr>
        <w:t>Olaf Prufer</w:t>
      </w:r>
      <w:r>
        <w:rPr>
          <w:rtl w:val="0"/>
        </w:rPr>
        <w:t>’</w:t>
      </w:r>
      <w:r>
        <w:rPr>
          <w:rtl w:val="0"/>
        </w:rPr>
        <w:t>s request to join our crowded department</w:t>
      </w:r>
      <w:r>
        <w:rPr>
          <w:rtl w:val="0"/>
        </w:rPr>
        <w:t xml:space="preserve"> was denied. But</w:t>
      </w:r>
      <w:r>
        <w:rPr>
          <w:rtl w:val="0"/>
        </w:rPr>
        <w:t xml:space="preserve"> I was </w:t>
      </w:r>
      <w:r>
        <w:rPr>
          <w:rtl w:val="0"/>
        </w:rPr>
        <w:t xml:space="preserve">expected </w:t>
      </w:r>
      <w:r>
        <w:rPr>
          <w:rtl w:val="0"/>
        </w:rPr>
        <w:t>to acknowledge Prufer</w:t>
      </w:r>
      <w:r>
        <w:rPr>
          <w:rtl w:val="0"/>
        </w:rPr>
        <w:t>’</w:t>
      </w:r>
      <w:r>
        <w:rPr>
          <w:rtl w:val="0"/>
        </w:rPr>
        <w:t>s expertise regarding PaleoIndian and Hopewell issues, and to respect his long field experience in southeastern and central Ohio.</w:t>
      </w:r>
      <w:r>
        <w:rPr>
          <w:rtl w:val="0"/>
        </w:rPr>
        <w:t xml:space="preserve">  </w:t>
      </w:r>
      <w:r>
        <w:rPr>
          <w:rtl w:val="0"/>
        </w:rPr>
        <w:t xml:space="preserve">It appeared that I </w:t>
      </w:r>
      <w:r>
        <w:rPr>
          <w:rtl w:val="0"/>
        </w:rPr>
        <w:t>was</w:t>
      </w:r>
      <w:r>
        <w:rPr>
          <w:rtl w:val="0"/>
        </w:rPr>
        <w:t xml:space="preserve"> to do historical archaeology or stick to northern Ohio</w:t>
      </w:r>
      <w:r>
        <w:rPr>
          <w:rtl w:val="0"/>
        </w:rPr>
        <w:t xml:space="preserve"> prehistory </w:t>
      </w:r>
      <w:r>
        <w:rPr>
          <w:rtl w:val="0"/>
        </w:rPr>
        <w:t>—</w:t>
      </w:r>
      <w:r>
        <w:rPr>
          <w:rtl w:val="0"/>
        </w:rPr>
        <w:t xml:space="preserve">- </w:t>
      </w:r>
      <w:r>
        <w:rPr>
          <w:rtl w:val="0"/>
        </w:rPr>
        <w:t xml:space="preserve"> well away from Owen Lovejoy</w:t>
      </w:r>
      <w:r>
        <w:rPr>
          <w:rtl w:val="0"/>
        </w:rPr>
        <w:t>’</w:t>
      </w:r>
      <w:r>
        <w:rPr>
          <w:rtl w:val="0"/>
        </w:rPr>
        <w:t>s Sandusky realm.</w:t>
      </w:r>
    </w:p>
    <w:p>
      <w:pPr>
        <w:pStyle w:val="Body"/>
        <w:bidi w:val="0"/>
      </w:pPr>
    </w:p>
    <w:p>
      <w:pPr>
        <w:pStyle w:val="Body"/>
        <w:bidi w:val="0"/>
      </w:pPr>
      <w:r>
        <w:rPr>
          <w:rtl w:val="0"/>
        </w:rPr>
        <w:t xml:space="preserve">Publication of </w:t>
      </w:r>
      <w:r>
        <w:rPr>
          <w:rtl w:val="0"/>
        </w:rPr>
        <w:t xml:space="preserve">my earlier historical excavations </w:t>
      </w:r>
      <w:r>
        <w:rPr>
          <w:rtl w:val="0"/>
        </w:rPr>
        <w:t xml:space="preserve">led </w:t>
      </w:r>
      <w:r>
        <w:rPr>
          <w:rtl w:val="0"/>
        </w:rPr>
        <w:t xml:space="preserve">to a Western Reserve Historical Society </w:t>
      </w:r>
      <w:r>
        <w:rPr>
          <w:rtl w:val="0"/>
        </w:rPr>
        <w:t xml:space="preserve">grant </w:t>
      </w:r>
      <w:r>
        <w:rPr>
          <w:rtl w:val="0"/>
        </w:rPr>
        <w:t xml:space="preserve">that funded work at the Franklin Glassworks </w:t>
      </w:r>
      <w:r>
        <w:rPr>
          <w:rtl w:val="0"/>
        </w:rPr>
        <w:t xml:space="preserve">my </w:t>
      </w:r>
      <w:r>
        <w:rPr>
          <w:rtl w:val="0"/>
        </w:rPr>
        <w:t>first summer</w:t>
      </w:r>
      <w:r>
        <w:rPr>
          <w:rtl w:val="0"/>
        </w:rPr>
        <w:t>, work later supervised by David Frayer, Peter Burns and George Miller</w:t>
      </w:r>
      <w:r>
        <w:rPr>
          <w:rFonts w:ascii="Helvetica Neue" w:cs="Helvetica Neue" w:hAnsi="Helvetica Neue" w:eastAsia="Helvetica Neue"/>
          <w:b w:val="0"/>
          <w:bCs w:val="0"/>
          <w:i w:val="0"/>
          <w:iCs w:val="0"/>
          <w:vertAlign w:val="superscript"/>
        </w:rPr>
        <w:footnoteReference w:id="2"/>
      </w:r>
      <w:r>
        <w:rPr>
          <w:rtl w:val="0"/>
        </w:rPr>
        <w:t xml:space="preserve">.  </w:t>
      </w:r>
      <w:r>
        <w:rPr>
          <w:rtl w:val="0"/>
        </w:rPr>
        <w:t>By 197</w:t>
      </w:r>
      <w:r>
        <w:rPr>
          <w:rtl w:val="0"/>
        </w:rPr>
        <w:t>1</w:t>
      </w:r>
      <w:r>
        <w:rPr>
          <w:rtl w:val="0"/>
        </w:rPr>
        <w:t xml:space="preserve"> the Glassworks led to excavations at the</w:t>
      </w:r>
      <w:r>
        <w:rPr>
          <w:rtl w:val="0"/>
        </w:rPr>
        <w:t xml:space="preserve"> </w:t>
      </w:r>
      <w:r>
        <w:rPr>
          <w:rtl w:val="0"/>
        </w:rPr>
        <w:t xml:space="preserve">Western Reserve Historical Society historical Hale Farm.  The local Cuyahoga Valley Historical Society then asked me to conduct an overview </w:t>
      </w:r>
      <w:r>
        <w:rPr>
          <w:rtl w:val="0"/>
        </w:rPr>
        <w:t xml:space="preserve">archaeology </w:t>
      </w:r>
      <w:r>
        <w:rPr>
          <w:rtl w:val="0"/>
        </w:rPr>
        <w:t xml:space="preserve">survey </w:t>
      </w:r>
      <w:r>
        <w:rPr>
          <w:rtl w:val="0"/>
        </w:rPr>
        <w:t>for</w:t>
      </w:r>
      <w:r>
        <w:rPr>
          <w:rtl w:val="0"/>
        </w:rPr>
        <w:t xml:space="preserve"> what became the Cuyahoga Valley National Recreation Area (work that put me in contact with the NPS Midwest Archaeological Center) and their local funding supported excavations at Boston Ledges, Everett Knoll</w:t>
      </w:r>
      <w:r>
        <w:rPr>
          <w:rtl w:val="0"/>
        </w:rPr>
        <w:t>, Greenwood Village,</w:t>
      </w:r>
      <w:r>
        <w:rPr>
          <w:rtl w:val="0"/>
        </w:rPr>
        <w:t xml:space="preserve"> and the Hale Farm, all of which revealed middle and early Late Woodland pottery comparable to what Prufer had recovered from rock-shelters in Southeastern Ohi</w:t>
      </w:r>
      <w:r>
        <w:rPr>
          <w:rtl w:val="0"/>
        </w:rPr>
        <w:t>o.</w:t>
      </w:r>
    </w:p>
    <w:p>
      <w:pPr>
        <w:pStyle w:val="Body"/>
        <w:bidi w:val="0"/>
      </w:pPr>
    </w:p>
    <w:p>
      <w:pPr>
        <w:pStyle w:val="Body"/>
        <w:bidi w:val="0"/>
      </w:pPr>
      <w:r>
        <w:rPr>
          <w:rtl w:val="0"/>
        </w:rPr>
        <w:t>By t</w:t>
      </w:r>
      <w:r>
        <w:rPr>
          <w:rtl w:val="0"/>
          <w:lang w:val="de-DE"/>
        </w:rPr>
        <w:t xml:space="preserve">hen Fitting </w:t>
      </w:r>
      <w:r>
        <w:rPr>
          <w:rtl w:val="0"/>
        </w:rPr>
        <w:t>had taken</w:t>
      </w:r>
      <w:r>
        <w:rPr>
          <w:rtl w:val="0"/>
        </w:rPr>
        <w:t xml:space="preserve"> off for the Southwest with </w:t>
      </w:r>
      <w:r>
        <w:rPr>
          <w:rtl w:val="0"/>
        </w:rPr>
        <w:t xml:space="preserve">our </w:t>
      </w:r>
      <w:r>
        <w:rPr>
          <w:rtl w:val="0"/>
        </w:rPr>
        <w:t>undergraduates, Steve Leckson, Dave Anderson, and Tom Gray,  and Gary Wright went to work on the European Paleolithic</w:t>
      </w:r>
      <w:r>
        <w:rPr>
          <w:rtl w:val="0"/>
        </w:rPr>
        <w:t xml:space="preserve">, so the CWRU Anthropology Department assigned me to facilitate </w:t>
      </w:r>
      <w:r>
        <w:rPr>
          <w:rtl w:val="0"/>
        </w:rPr>
        <w:t xml:space="preserve">transfer of the Todd-Haman biophysical collection from the old Western Reserve University Medical School to the </w:t>
      </w:r>
      <w:r>
        <w:rPr>
          <w:rtl w:val="0"/>
        </w:rPr>
        <w:t xml:space="preserve"> </w:t>
      </w:r>
      <w:r>
        <w:rPr>
          <w:rtl w:val="0"/>
        </w:rPr>
        <w:t>Cleveland Museum of Natural History</w:t>
      </w:r>
      <w:r>
        <w:rPr>
          <w:rtl w:val="0"/>
        </w:rPr>
        <w:t xml:space="preserve">.  Its new </w:t>
      </w:r>
      <w:r>
        <w:rPr>
          <w:rtl w:val="0"/>
          <w:lang w:val="es-ES_tradnl"/>
        </w:rPr>
        <w:t xml:space="preserve">director </w:t>
      </w:r>
      <w:r>
        <w:rPr>
          <w:rtl w:val="0"/>
        </w:rPr>
        <w:t xml:space="preserve">offered me an adjunct curatorial appointment, asking </w:t>
      </w:r>
      <w:r>
        <w:rPr>
          <w:rtl w:val="0"/>
        </w:rPr>
        <w:t xml:space="preserve">for a new approach to the archaeological sites Whittlesey documented nearby, on several of which </w:t>
      </w:r>
      <w:r>
        <w:rPr>
          <w:rtl w:val="0"/>
        </w:rPr>
        <w:t xml:space="preserve">Jim Murphy, </w:t>
      </w:r>
      <w:r>
        <w:rPr>
          <w:rtl w:val="0"/>
        </w:rPr>
        <w:t>the museum</w:t>
      </w:r>
      <w:r>
        <w:rPr>
          <w:rtl w:val="0"/>
        </w:rPr>
        <w:t>’</w:t>
      </w:r>
      <w:r>
        <w:rPr>
          <w:rtl w:val="0"/>
          <w:lang w:val="fr-FR"/>
        </w:rPr>
        <w:t>s assistant librarian</w:t>
      </w:r>
      <w:r>
        <w:rPr>
          <w:rtl w:val="0"/>
        </w:rPr>
        <w:t>,</w:t>
      </w:r>
      <w:r>
        <w:rPr>
          <w:rtl w:val="0"/>
        </w:rPr>
        <w:t xml:space="preserve"> had been working for years.  I recognized that relying on the few sites that provided ceramic studies for Greenman and Fitting constrained any broader regional interpretation.  With the support of the National Science Foundation, I implemented an ecologically structured statistical sampling survey that sent</w:t>
      </w:r>
      <w:r>
        <w:rPr>
          <w:rtl w:val="0"/>
        </w:rPr>
        <w:t xml:space="preserve"> </w:t>
      </w:r>
      <w:r>
        <w:rPr>
          <w:rtl w:val="0"/>
        </w:rPr>
        <w:t>students testing potential site locations across Lake Erie</w:t>
      </w:r>
      <w:r>
        <w:rPr>
          <w:rtl w:val="0"/>
        </w:rPr>
        <w:t>’</w:t>
      </w:r>
      <w:r>
        <w:rPr>
          <w:rtl w:val="0"/>
        </w:rPr>
        <w:t>s southern drainages from Erie Pa west to Sandusky Bay</w:t>
      </w:r>
      <w:r>
        <w:rPr>
          <w:rFonts w:ascii="Helvetica Neue" w:cs="Helvetica Neue" w:hAnsi="Helvetica Neue" w:eastAsia="Helvetica Neue"/>
          <w:b w:val="0"/>
          <w:bCs w:val="0"/>
          <w:i w:val="0"/>
          <w:iCs w:val="0"/>
          <w:vertAlign w:val="superscript"/>
        </w:rPr>
        <w:footnoteReference w:id="3"/>
      </w:r>
      <w:r>
        <w:rPr>
          <w:rtl w:val="0"/>
        </w:rPr>
        <w:t xml:space="preserve">. </w:t>
      </w:r>
      <w:r>
        <w:rPr>
          <w:rtl w:val="0"/>
        </w:rPr>
        <w:t>That work did demonstrate changing pattern</w:t>
      </w:r>
      <w:r>
        <w:rPr>
          <w:rtl w:val="0"/>
        </w:rPr>
        <w:t>s</w:t>
      </w:r>
      <w:r>
        <w:rPr>
          <w:rtl w:val="0"/>
        </w:rPr>
        <w:t xml:space="preserve"> of site location: not only for </w:t>
      </w:r>
      <w:r>
        <w:rPr>
          <w:rtl w:val="0"/>
        </w:rPr>
        <w:t xml:space="preserve">a complex of </w:t>
      </w:r>
      <w:r>
        <w:rPr>
          <w:rtl w:val="0"/>
        </w:rPr>
        <w:t>Whittlesey site</w:t>
      </w:r>
      <w:r>
        <w:rPr>
          <w:rtl w:val="0"/>
        </w:rPr>
        <w:t xml:space="preserve"> type</w:t>
      </w:r>
      <w:r>
        <w:rPr>
          <w:rtl w:val="0"/>
        </w:rPr>
        <w:t>s, but for what would be called Western Basin, Sandusky, and McFate sites as well.</w:t>
      </w:r>
    </w:p>
    <w:p>
      <w:pPr>
        <w:pStyle w:val="Body"/>
        <w:bidi w:val="0"/>
      </w:pPr>
    </w:p>
    <w:p>
      <w:pPr>
        <w:pStyle w:val="Body"/>
        <w:bidi w:val="0"/>
      </w:pPr>
      <w:r>
        <w:rPr>
          <w:rtl w:val="0"/>
        </w:rPr>
        <w:t>When the 1972 Central States Archaeological Conference held their 1972 annual meeting in Cleveland, I agreed to chair a symposium on the Late Prehistory of the Lake Erie Drainage Basin</w:t>
      </w:r>
      <w:r>
        <w:rPr>
          <w:rFonts w:ascii="Helvetica Neue" w:cs="Helvetica Neue" w:hAnsi="Helvetica Neue" w:eastAsia="Helvetica Neue"/>
          <w:b w:val="0"/>
          <w:bCs w:val="0"/>
          <w:i w:val="0"/>
          <w:iCs w:val="0"/>
          <w:vertAlign w:val="superscript"/>
        </w:rPr>
        <w:footnoteReference w:id="4"/>
      </w:r>
      <w:r>
        <w:rPr>
          <w:rtl w:val="0"/>
        </w:rPr>
        <w:t xml:space="preserve">. </w:t>
      </w:r>
      <w:r>
        <w:rPr>
          <w:rtl w:val="0"/>
        </w:rPr>
        <w:t xml:space="preserve"> </w:t>
      </w:r>
      <w:r>
        <w:rPr>
          <w:rtl w:val="0"/>
          <w:lang w:val="pt-PT"/>
        </w:rPr>
        <w:t>As I</w:t>
      </w:r>
      <w:r>
        <w:rPr>
          <w:rtl w:val="0"/>
        </w:rPr>
        <w:t xml:space="preserve"> wrote </w:t>
      </w:r>
      <w:r>
        <w:rPr>
          <w:rtl w:val="0"/>
        </w:rPr>
        <w:t xml:space="preserve">in my conclusion to that symposium, everyone could recognize </w:t>
      </w:r>
      <w:r>
        <w:rPr>
          <w:rtl w:val="0"/>
        </w:rPr>
        <w:t xml:space="preserve">the </w:t>
      </w:r>
      <w:r>
        <w:rPr>
          <w:rtl w:val="0"/>
        </w:rPr>
        <w:t xml:space="preserve">striking lack of regional coordination or even compatibility of theory, </w:t>
      </w:r>
      <w:r>
        <w:rPr>
          <w:rtl w:val="0"/>
        </w:rPr>
        <w:t xml:space="preserve">analytical and field </w:t>
      </w:r>
      <w:r>
        <w:rPr>
          <w:rtl w:val="0"/>
        </w:rPr>
        <w:t>method</w:t>
      </w:r>
      <w:r>
        <w:rPr>
          <w:rtl w:val="0"/>
        </w:rPr>
        <w:t>s</w:t>
      </w:r>
      <w:r>
        <w:rPr>
          <w:rtl w:val="0"/>
        </w:rPr>
        <w:t xml:space="preserve">, evaluation of conclusions, and </w:t>
      </w:r>
      <w:r>
        <w:rPr>
          <w:rtl w:val="0"/>
        </w:rPr>
        <w:t xml:space="preserve">interpretations of cultural </w:t>
      </w:r>
      <w:r>
        <w:rPr>
          <w:rtl w:val="0"/>
        </w:rPr>
        <w:t xml:space="preserve">connectivity among </w:t>
      </w:r>
      <w:r>
        <w:rPr>
          <w:rtl w:val="0"/>
        </w:rPr>
        <w:t>neighboring (but not too neighborly)</w:t>
      </w:r>
      <w:r>
        <w:rPr>
          <w:rtl w:val="0"/>
        </w:rPr>
        <w:t xml:space="preserve"> Ohio scholars. In addition, Ohio demonstrated a kind of </w:t>
      </w:r>
      <w:r>
        <w:rPr>
          <w:rtl w:val="0"/>
        </w:rPr>
        <w:t xml:space="preserve">territorial </w:t>
      </w:r>
      <w:r>
        <w:rPr>
          <w:rtl w:val="0"/>
        </w:rPr>
        <w:t xml:space="preserve">cronyism among favored amateur and professional archaeologists, and there was a </w:t>
      </w:r>
      <w:r>
        <w:rPr>
          <w:rtl w:val="0"/>
        </w:rPr>
        <w:t>“</w:t>
      </w:r>
      <w:r>
        <w:rPr>
          <w:rtl w:val="0"/>
        </w:rPr>
        <w:t>closed shop</w:t>
      </w:r>
      <w:r>
        <w:rPr>
          <w:rtl w:val="0"/>
        </w:rPr>
        <w:t xml:space="preserve">” </w:t>
      </w:r>
      <w:r>
        <w:rPr>
          <w:rtl w:val="0"/>
        </w:rPr>
        <w:t>attitude linking public</w:t>
      </w:r>
      <w:r>
        <w:rPr>
          <w:rtl w:val="0"/>
        </w:rPr>
        <w:t>ly funded</w:t>
      </w:r>
      <w:r>
        <w:rPr>
          <w:rtl w:val="0"/>
        </w:rPr>
        <w:t xml:space="preserve"> archaeology with favored academic institutions and governmental agencies </w:t>
      </w:r>
      <w:r>
        <w:rPr>
          <w:rtl w:val="0"/>
        </w:rPr>
        <w:t xml:space="preserve">at </w:t>
      </w:r>
      <w:r>
        <w:rPr>
          <w:rtl w:val="0"/>
        </w:rPr>
        <w:t xml:space="preserve">every level.  This </w:t>
      </w:r>
      <w:r>
        <w:rPr>
          <w:rtl w:val="0"/>
        </w:rPr>
        <w:t>grew</w:t>
      </w:r>
      <w:r>
        <w:rPr>
          <w:rtl w:val="0"/>
        </w:rPr>
        <w:t xml:space="preserve"> </w:t>
      </w:r>
      <w:r>
        <w:rPr>
          <w:rtl w:val="0"/>
        </w:rPr>
        <w:t>increasing</w:t>
      </w:r>
      <w:r>
        <w:rPr>
          <w:rtl w:val="0"/>
        </w:rPr>
        <w:t xml:space="preserve">ly troubling to me since by </w:t>
      </w:r>
      <w:r>
        <w:rPr>
          <w:rtl w:val="0"/>
        </w:rPr>
        <w:t xml:space="preserve">late </w:t>
      </w:r>
      <w:r>
        <w:rPr>
          <w:rtl w:val="0"/>
        </w:rPr>
        <w:t xml:space="preserve">1973 I had graduate students </w:t>
      </w:r>
      <w:r>
        <w:rPr>
          <w:rtl w:val="0"/>
        </w:rPr>
        <w:t xml:space="preserve">conducting dissertation </w:t>
      </w:r>
      <w:r>
        <w:rPr>
          <w:rtl w:val="0"/>
        </w:rPr>
        <w:t>work in several of those jealously guarded riverine fiefdoms</w:t>
      </w:r>
      <w:r>
        <w:rPr>
          <w:rFonts w:ascii="Helvetica Neue" w:cs="Helvetica Neue" w:hAnsi="Helvetica Neue" w:eastAsia="Helvetica Neue"/>
          <w:b w:val="0"/>
          <w:bCs w:val="0"/>
          <w:i w:val="0"/>
          <w:iCs w:val="0"/>
          <w:vertAlign w:val="superscript"/>
        </w:rPr>
        <w:footnoteReference w:id="5"/>
      </w:r>
      <w:r>
        <w:rPr>
          <w:rtl w:val="0"/>
        </w:rPr>
        <w:t>.</w:t>
      </w:r>
    </w:p>
    <w:p>
      <w:pPr>
        <w:pStyle w:val="Body"/>
        <w:bidi w:val="0"/>
      </w:pPr>
    </w:p>
    <w:p>
      <w:pPr>
        <w:pStyle w:val="Body"/>
        <w:bidi w:val="0"/>
      </w:pPr>
      <w:r>
        <w:rPr>
          <w:rtl w:val="0"/>
        </w:rPr>
        <w:t>Unfortunately, there remained significant places in Ohio, or portions of Ohio</w:t>
      </w:r>
      <w:r>
        <w:rPr>
          <w:rtl w:val="0"/>
        </w:rPr>
        <w:t>’</w:t>
      </w:r>
      <w:r>
        <w:rPr>
          <w:rtl w:val="0"/>
        </w:rPr>
        <w:t xml:space="preserve">s past about we knew almost nothing, because no </w:t>
      </w:r>
      <w:r>
        <w:rPr>
          <w:rtl w:val="0"/>
        </w:rPr>
        <w:t>“</w:t>
      </w:r>
      <w:r>
        <w:rPr>
          <w:rtl w:val="0"/>
        </w:rPr>
        <w:t>established archaeologist</w:t>
      </w:r>
      <w:r>
        <w:rPr>
          <w:rtl w:val="0"/>
        </w:rPr>
        <w:t xml:space="preserve">” </w:t>
      </w:r>
      <w:r>
        <w:rPr>
          <w:rtl w:val="0"/>
        </w:rPr>
        <w:t xml:space="preserve">had personally adopted them.  And frequently, the information that did exist was restricted to certain colleagues </w:t>
      </w:r>
      <w:r>
        <w:rPr>
          <w:rtl w:val="0"/>
        </w:rPr>
        <w:t xml:space="preserve">… </w:t>
      </w:r>
      <w:r>
        <w:rPr>
          <w:rtl w:val="0"/>
        </w:rPr>
        <w:t>and I was being challenged by my students to help them access and assess it: a cooperative task I well knew would never be facilitated by those who saw no benefit in so doing.</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tl w:val="0"/>
        </w:rPr>
        <w:t xml:space="preserve">Yet in every corner of the state I had met less privileged archaeologists willing to share their own work and anxious to connect it with the work of their colleagues.  So over the course of a year in which senior archaeologists across the eastern US agreed to collaborate in fostering the new </w:t>
      </w:r>
      <w:r>
        <w:rPr>
          <w:i w:val="1"/>
          <w:iCs w:val="1"/>
          <w:rtl w:val="0"/>
          <w:lang w:val="en-US"/>
        </w:rPr>
        <w:t>Mid-Continental Journal of Archaeology</w:t>
      </w:r>
      <w:r>
        <w:rPr>
          <w:rtl w:val="0"/>
        </w:rPr>
        <w:t xml:space="preserve"> new regional journal</w:t>
      </w:r>
      <w:r>
        <w:rPr>
          <w:rFonts w:ascii="Helvetica Neue" w:cs="Helvetica Neue" w:hAnsi="Helvetica Neue" w:eastAsia="Helvetica Neue"/>
          <w:b w:val="0"/>
          <w:bCs w:val="0"/>
          <w:i w:val="0"/>
          <w:iCs w:val="0"/>
          <w:vertAlign w:val="superscript"/>
        </w:rPr>
        <w:footnoteReference w:id="6"/>
      </w:r>
      <w:r>
        <w:rPr>
          <w:rtl w:val="0"/>
        </w:rPr>
        <w:t xml:space="preserve">, </w:t>
      </w:r>
      <w:r>
        <w:rPr>
          <w:rtl w:val="0"/>
        </w:rPr>
        <w:t xml:space="preserve">I </w:t>
      </w:r>
      <w:r>
        <w:rPr>
          <w:rtl w:val="0"/>
        </w:rPr>
        <w:t xml:space="preserve">raised the issue of an Ohio collaborative with </w:t>
      </w:r>
      <w:r>
        <w:rPr>
          <w:rtl w:val="0"/>
        </w:rPr>
        <w:t xml:space="preserve">Oren Shane </w:t>
      </w:r>
      <w:r>
        <w:rPr>
          <w:rtl w:val="0"/>
        </w:rPr>
        <w:t xml:space="preserve">at Kent State, </w:t>
      </w:r>
      <w:r>
        <w:rPr>
          <w:rtl w:val="0"/>
        </w:rPr>
        <w:t>Martha Potter</w:t>
      </w:r>
      <w:r>
        <w:rPr>
          <w:rtl w:val="0"/>
        </w:rPr>
        <w:t xml:space="preserve"> at the Ohio Historical Center, Kent Vickery at Cincinnati, and </w:t>
      </w:r>
      <w:r>
        <w:rPr>
          <w:rtl w:val="0"/>
        </w:rPr>
        <w:t>Earl Prah</w:t>
      </w:r>
      <w:r>
        <w:rPr>
          <w:rtl w:val="0"/>
        </w:rPr>
        <w:t>l in Toledo,</w:t>
      </w:r>
      <w:r>
        <w:rPr>
          <w:rtl w:val="0"/>
        </w:rPr>
        <w:t xml:space="preserve"> </w:t>
      </w:r>
      <w:r>
        <w:rPr>
          <w:rtl w:val="0"/>
        </w:rPr>
        <w:t xml:space="preserve">and </w:t>
      </w:r>
      <w:r>
        <w:rPr>
          <w:rtl w:val="0"/>
        </w:rPr>
        <w:t>Art Saxe, another Michigan alumnus, then at Ohio University</w:t>
      </w:r>
      <w:r>
        <w:rPr>
          <w:rtl w:val="0"/>
        </w:rPr>
        <w:t xml:space="preserve">.  I also got valuable encouragement from Chuck Cleland, at Michigan State, Jim Keller in Indiana, and </w:t>
      </w:r>
      <w:r>
        <w:rPr>
          <w:rtl w:val="0"/>
        </w:rPr>
        <w:t xml:space="preserve">Renata Wolynec </w:t>
      </w:r>
      <w:r>
        <w:rPr>
          <w:rtl w:val="0"/>
        </w:rPr>
        <w:t xml:space="preserve">in NW Pennsylvania, </w:t>
      </w:r>
      <w:r>
        <w:rPr>
          <w:rtl w:val="0"/>
        </w:rPr>
        <w:t xml:space="preserve">as well as </w:t>
      </w:r>
      <w:r>
        <w:rPr>
          <w:rtl w:val="0"/>
        </w:rPr>
        <w:t xml:space="preserve">from </w:t>
      </w:r>
      <w:r>
        <w:rPr>
          <w:rtl w:val="0"/>
          <w:lang w:val="nl-NL"/>
        </w:rPr>
        <w:t>Bennie Keel</w:t>
      </w:r>
      <w:r>
        <w:rPr>
          <w:rtl w:val="0"/>
        </w:rPr>
        <w:t xml:space="preserve"> who had </w:t>
      </w:r>
      <w:r>
        <w:rPr>
          <w:rtl w:val="0"/>
        </w:rPr>
        <w:t xml:space="preserve">moved to Wright State University, and </w:t>
      </w:r>
      <w:r>
        <w:rPr>
          <w:rtl w:val="0"/>
        </w:rPr>
        <w:t>then to the Federal Office of Archaeology and Historic Preservation</w:t>
      </w:r>
      <w:r>
        <w:rPr>
          <w:rFonts w:ascii="Helvetica Neue" w:cs="Helvetica Neue" w:hAnsi="Helvetica Neue" w:eastAsia="Helvetica Neue"/>
          <w:b w:val="0"/>
          <w:bCs w:val="0"/>
          <w:i w:val="0"/>
          <w:iCs w:val="0"/>
          <w:vertAlign w:val="superscript"/>
        </w:rPr>
        <w:footnoteReference w:id="7"/>
      </w:r>
      <w:r>
        <w:rPr>
          <w:rtl w:val="0"/>
        </w:rPr>
        <w:t xml:space="preserve">.  </w:t>
      </w:r>
      <w:r>
        <w:rPr>
          <w:rtl w:val="0"/>
        </w:rPr>
        <w:t xml:space="preserve">Through the assistance of the late Marian White, I spoke with the New York Archaeology Association to </w:t>
      </w:r>
      <w:r>
        <w:rPr>
          <w:rtl w:val="0"/>
        </w:rPr>
        <w:t xml:space="preserve">learn </w:t>
      </w:r>
      <w:r>
        <w:rPr>
          <w:rtl w:val="0"/>
        </w:rPr>
        <w:t>some of the steps they had taken (and some they had avoided) to structure an effective state-wide professional collaborative better able to work with state and federal agencies</w:t>
      </w:r>
      <w:r>
        <w:rPr>
          <w:rtl w:val="0"/>
        </w:rPr>
        <w:t>.</w:t>
      </w:r>
      <w:r>
        <w:rPr>
          <w:rtl w:val="0"/>
        </w:rPr>
        <w:t> </w:t>
      </w:r>
      <w:r>
        <w:rPr>
          <w:rtl w:val="0"/>
        </w:rPr>
        <w:t xml:space="preserve"> And I made telephone calls </w:t>
      </w:r>
      <w:r>
        <w:rPr>
          <w:rtl w:val="0"/>
        </w:rPr>
        <w:t xml:space="preserve">… </w:t>
      </w:r>
      <w:r>
        <w:rPr>
          <w:rtl w:val="0"/>
        </w:rPr>
        <w:t>lots of them.</w:t>
      </w:r>
    </w:p>
    <w:p>
      <w:pPr>
        <w:pStyle w:val="Body"/>
        <w:bidi w:val="0"/>
      </w:pPr>
    </w:p>
    <w:p>
      <w:pPr>
        <w:pStyle w:val="Body"/>
        <w:bidi w:val="0"/>
      </w:pPr>
      <w:r>
        <w:rPr>
          <w:rtl w:val="0"/>
        </w:rPr>
        <w:t xml:space="preserve">As I recall, Orrin Shane, Martha Potter, Kent Vickery and I met in Columbus later in 1974 and after Martha and Kent drew up the draft of the organization that a few months later would become the Ohio Archaeological Council, we sent out the first calls, inviting others to join.  I had been selected as the first President but as a good chief executive I was happy to see those other members of the executive committee take on the really hard work of running a brand new and diffuse membership organization.  I was off chairing Ph.D. committees for Dave Stothers, Bruce Rippeteau, and Nancy White, although </w:t>
      </w:r>
      <w:r>
        <w:rPr>
          <w:rtl w:val="0"/>
        </w:rPr>
        <w:t xml:space="preserve">with the </w:t>
      </w:r>
      <w:r>
        <w:rPr>
          <w:rtl w:val="0"/>
        </w:rPr>
        <w:t>“</w:t>
      </w:r>
      <w:r>
        <w:rPr>
          <w:rtl w:val="0"/>
        </w:rPr>
        <w:t>opening</w:t>
      </w:r>
      <w:r>
        <w:rPr>
          <w:rtl w:val="0"/>
        </w:rPr>
        <w:t xml:space="preserve">” </w:t>
      </w:r>
      <w:r>
        <w:rPr>
          <w:rtl w:val="0"/>
        </w:rPr>
        <w:t>of central Ohio</w:t>
      </w:r>
      <w:r>
        <w:rPr>
          <w:rtl w:val="0"/>
        </w:rPr>
        <w:t xml:space="preserve">, </w:t>
      </w:r>
      <w:r>
        <w:rPr>
          <w:rtl w:val="0"/>
        </w:rPr>
        <w:t>in my peripatetic fashion</w:t>
      </w:r>
      <w:r>
        <w:rPr>
          <w:rtl w:val="0"/>
        </w:rPr>
        <w:t xml:space="preserve"> I had started</w:t>
      </w:r>
      <w:r>
        <w:rPr>
          <w:rtl w:val="0"/>
        </w:rPr>
        <w:t xml:space="preserve"> planning the Chillicothe Conference for 1976</w:t>
      </w:r>
      <w:r>
        <w:rPr>
          <w:rtl w:val="0"/>
        </w:rPr>
        <w:t xml:space="preserve">  and agreed to do a new archaeological </w:t>
      </w:r>
      <w:r>
        <w:rPr>
          <w:rtl w:val="0"/>
        </w:rPr>
        <w:t xml:space="preserve">assessment of </w:t>
      </w:r>
      <w:r>
        <w:rPr>
          <w:rtl w:val="0"/>
        </w:rPr>
        <w:t xml:space="preserve">the </w:t>
      </w:r>
      <w:r>
        <w:rPr>
          <w:rtl w:val="0"/>
        </w:rPr>
        <w:t>Hopeton</w:t>
      </w:r>
      <w:r>
        <w:rPr>
          <w:rtl w:val="0"/>
        </w:rPr>
        <w:t xml:space="preserve"> works</w:t>
      </w:r>
      <w:r>
        <w:rPr>
          <w:rtl w:val="0"/>
        </w:rPr>
        <w:t xml:space="preserve"> for </w:t>
      </w:r>
      <w:r>
        <w:rPr>
          <w:rtl w:val="0"/>
        </w:rPr>
        <w:t xml:space="preserve">potential </w:t>
      </w:r>
      <w:r>
        <w:rPr>
          <w:rtl w:val="0"/>
          <w:lang w:val="fr-FR"/>
        </w:rPr>
        <w:t>NPS</w:t>
      </w:r>
      <w:r>
        <w:rPr>
          <w:rtl w:val="0"/>
        </w:rPr>
        <w:t xml:space="preserve"> acquisition.  I had also helped with the delicate diplomacy needed to allow N</w:t>
      </w:r>
      <w:r>
        <w:rPr>
          <w:rtl w:val="0"/>
        </w:rPr>
        <w:t>’</w:t>
      </w:r>
      <w:r>
        <w:rPr>
          <w:rtl w:val="0"/>
        </w:rPr>
        <w:t xml:space="preserve">Omi </w:t>
      </w:r>
      <w:r>
        <w:rPr>
          <w:rtl w:val="0"/>
        </w:rPr>
        <w:t xml:space="preserve">Greber to </w:t>
      </w:r>
      <w:r>
        <w:rPr>
          <w:rtl w:val="0"/>
        </w:rPr>
        <w:t xml:space="preserve">reopen the </w:t>
      </w:r>
      <w:r>
        <w:rPr>
          <w:rtl w:val="0"/>
        </w:rPr>
        <w:t xml:space="preserve">Harness </w:t>
      </w:r>
      <w:r>
        <w:rPr>
          <w:rtl w:val="0"/>
        </w:rPr>
        <w:t xml:space="preserve">mound site: the first actual OAC project, coordinated by Kent Vickery.   Fortunately, those early years when I was the titular head of the OAC were years of sustained and effective organizational success by Martha Potter and Kent Vickery as well as by Orrin Shane before he moved to Minnesota.  </w:t>
      </w:r>
    </w:p>
    <w:p>
      <w:pPr>
        <w:pStyle w:val="Body"/>
        <w:bidi w:val="0"/>
      </w:pPr>
    </w:p>
    <w:p>
      <w:pPr>
        <w:pStyle w:val="Body"/>
        <w:bidi w:val="0"/>
      </w:pPr>
      <w:r>
        <w:rPr>
          <w:rtl w:val="0"/>
        </w:rPr>
        <w:t>Looking back, from nearly half a century, I am certainly grateful for the stability they brought to the initiative and the sustained accomplishments of the succeeding officers and members. While I am no longer actively engaged in Ohio archaeology I do try to keep up with its surprising  twists and turns (not unlike its Serpent Mound controversies).  If I have any suggestions for the OAC</w:t>
      </w:r>
      <w:r>
        <w:rPr>
          <w:rtl w:val="0"/>
        </w:rPr>
        <w:t>’</w:t>
      </w:r>
      <w:r>
        <w:rPr>
          <w:rtl w:val="0"/>
        </w:rPr>
        <w:t>s future efforts, I</w:t>
      </w:r>
      <w:r>
        <w:rPr>
          <w:rtl w:val="0"/>
        </w:rPr>
        <w:t>’</w:t>
      </w:r>
      <w:r>
        <w:rPr>
          <w:rtl w:val="0"/>
        </w:rPr>
        <w:t xml:space="preserve">d hope it readdresses its somewhat delinquent role in historical sites archaeology, and that it rethinks the basic structure of its classificatory boxes which too easily let partial data take on the trappings of more fully analyzed data sets given the same classification placement (rightly or not).   Minor quibbles </w:t>
      </w:r>
      <w:r>
        <w:rPr>
          <w:rtl w:val="0"/>
        </w:rPr>
        <w:t xml:space="preserve">… </w:t>
      </w:r>
      <w:r>
        <w:rPr>
          <w:rtl w:val="0"/>
        </w:rPr>
        <w:t>I had been lucky to be in the right place at the right time, and I have been honored to have had a role in bringing the Ohio Archaeological Council into existence.</w:t>
      </w:r>
    </w:p>
    <w:p>
      <w:pPr>
        <w:pStyle w:val="Body"/>
        <w:bidi w:val="0"/>
      </w:pPr>
    </w:p>
    <w:p>
      <w:pPr>
        <w:pStyle w:val="Body"/>
        <w:bidi w:val="0"/>
      </w:pPr>
      <w:r>
        <w:rPr>
          <w:rtl w:val="0"/>
        </w:rPr>
        <w:t>David Brose</w:t>
      </w:r>
    </w:p>
    <w:p>
      <w:pPr>
        <w:pStyle w:val="Body"/>
        <w:bidi w:val="0"/>
      </w:pPr>
      <w:r>
        <w:rPr>
          <w:rtl w:val="0"/>
        </w:rPr>
        <w:t>Kalamazoo</w:t>
      </w:r>
    </w:p>
    <w:p>
      <w:pPr>
        <w:pStyle w:val="Body"/>
        <w:bidi w:val="0"/>
      </w:pPr>
    </w:p>
    <w:p>
      <w:pPr>
        <w:pStyle w:val="Body"/>
        <w:bidi w:val="0"/>
      </w:pPr>
      <w:r>
        <w:rPr>
          <w:rtl w:val="0"/>
        </w:rPr>
        <w:t xml:space="preserve"> </w:t>
      </w:r>
    </w:p>
    <w:p>
      <w:pPr>
        <w:pStyle w:val="Body"/>
        <w:bidi w:val="0"/>
      </w:pPr>
    </w:p>
    <w:p>
      <w:pPr>
        <w:pStyle w:val="Body"/>
        <w:bidi w:val="0"/>
      </w:pPr>
    </w:p>
    <w:p>
      <w:pPr>
        <w:pStyle w:val="Body"/>
        <w:bidi w:val="0"/>
      </w:pPr>
    </w:p>
    <w:p>
      <w:pPr>
        <w:pStyle w:val="Body"/>
        <w:bidi w:val="0"/>
      </w:pPr>
    </w:p>
    <w:p>
      <w:pPr>
        <w:pStyle w:val="Body"/>
        <w:bidi w:val="0"/>
      </w:pPr>
    </w:p>
    <w:p>
      <w:pPr>
        <w:pStyle w:val="Body"/>
        <w:bidi w:val="0"/>
      </w:pPr>
      <w:r>
        <w:tab/>
        <w:tab/>
      </w:r>
    </w:p>
    <w:p>
      <w:pPr>
        <w:pStyle w:val="Body"/>
        <w:bidi w:val="0"/>
      </w:pPr>
    </w:p>
    <w:p>
      <w:pPr>
        <w:pStyle w:val="Body"/>
        <w:bidi w:val="0"/>
      </w:pPr>
    </w:p>
    <w:p>
      <w:pPr>
        <w:pStyle w:val="Body"/>
        <w:bidi w:val="0"/>
      </w:pPr>
    </w:p>
    <w:p>
      <w:pPr>
        <w:pStyle w:val="Body"/>
        <w:bidi w:val="0"/>
      </w:pPr>
    </w:p>
    <w:p>
      <w:pPr>
        <w:pStyle w:val="Body"/>
        <w:bidi w:val="0"/>
      </w:pPr>
      <w:r>
        <w:rPr>
          <w:rtl w:val="0"/>
        </w:rPr>
        <w:t>       </w:t>
      </w:r>
    </w:p>
    <w:p>
      <w:pPr>
        <w:pStyle w:val="Body"/>
        <w:bidi w:val="0"/>
      </w:pPr>
    </w:p>
    <w:p>
      <w:pPr>
        <w:pStyle w:val="Body"/>
        <w:bidi w:val="0"/>
      </w:pPr>
      <w:r>
        <w:rPr>
          <w:rtl w:val="0"/>
        </w:rPr>
        <w:t> </w:t>
      </w:r>
    </w:p>
    <w:p>
      <w:pPr>
        <w:pStyle w:val="Body"/>
        <w:bidi w:val="0"/>
      </w:pP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ill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Gill Sans" w:hAnsi="Gill Sans"/>
        <w:i w:val="1"/>
        <w:iCs w:val="1"/>
        <w:sz w:val="20"/>
        <w:szCs w:val="20"/>
        <w:rtl w:val="0"/>
        <w:lang w:val="en-US"/>
      </w:rPr>
      <w:t>Starting OAC</w:t>
    </w:r>
    <w:r>
      <w:rPr>
        <w:rFonts w:ascii="Gill Sans" w:cs="Gill Sans" w:hAnsi="Gill Sans" w:eastAsia="Gill Sans"/>
        <w:i w:val="1"/>
        <w:iCs w:val="1"/>
        <w:sz w:val="20"/>
        <w:szCs w:val="20"/>
      </w:rPr>
      <w:tab/>
    </w:r>
    <w:r>
      <w:rPr>
        <w:rFonts w:ascii="Gill Sans" w:cs="Gill Sans" w:hAnsi="Gill Sans" w:eastAsia="Gill Sans"/>
        <w:i w:val="1"/>
        <w:iCs w:val="1"/>
        <w:sz w:val="22"/>
        <w:szCs w:val="22"/>
      </w:rPr>
      <w:fldChar w:fldCharType="begin" w:fldLock="0"/>
    </w:r>
    <w:r>
      <w:rPr>
        <w:rFonts w:ascii="Gill Sans" w:cs="Gill Sans" w:hAnsi="Gill Sans" w:eastAsia="Gill Sans"/>
        <w:i w:val="1"/>
        <w:iCs w:val="1"/>
        <w:sz w:val="22"/>
        <w:szCs w:val="22"/>
      </w:rPr>
      <w:instrText xml:space="preserve"> PAGE </w:instrText>
    </w:r>
    <w:r>
      <w:rPr>
        <w:rFonts w:ascii="Gill Sans" w:cs="Gill Sans" w:hAnsi="Gill Sans" w:eastAsia="Gill Sans"/>
        <w:i w:val="1"/>
        <w:iCs w:val="1"/>
        <w:sz w:val="22"/>
        <w:szCs w:val="22"/>
      </w:rPr>
      <w:fldChar w:fldCharType="separate" w:fldLock="0"/>
    </w:r>
    <w:r>
      <w:rPr>
        <w:rFonts w:ascii="Gill Sans" w:cs="Gill Sans" w:hAnsi="Gill Sans" w:eastAsia="Gill Sans"/>
        <w:i w:val="1"/>
        <w:iCs w:val="1"/>
        <w:sz w:val="22"/>
        <w:szCs w:val="22"/>
      </w:rPr>
      <w:t>1</w:t>
    </w:r>
    <w:r>
      <w:rPr>
        <w:rFonts w:ascii="Gill Sans" w:cs="Gill Sans" w:hAnsi="Gill Sans" w:eastAsia="Gill Sans"/>
        <w:i w:val="1"/>
        <w:iCs w:val="1"/>
        <w:sz w:val="22"/>
        <w:szCs w:val="22"/>
      </w:rPr>
      <w:fldChar w:fldCharType="end" w:fldLock="0"/>
    </w:r>
    <w:r>
      <w:rPr>
        <w:rFonts w:ascii="Gill Sans" w:hAnsi="Gill Sans"/>
        <w:i w:val="1"/>
        <w:iCs w:val="1"/>
        <w:sz w:val="22"/>
        <w:szCs w:val="22"/>
        <w:rtl w:val="0"/>
        <w:lang w:val="en-US"/>
      </w:rPr>
      <w:t xml:space="preserve"> </w:t>
    </w:r>
    <w:r>
      <w:rPr>
        <w:rFonts w:ascii="Gill Sans" w:cs="Gill Sans" w:hAnsi="Gill Sans" w:eastAsia="Gill Sans"/>
        <w:i w:val="1"/>
        <w:iCs w:val="1"/>
        <w:sz w:val="20"/>
        <w:szCs w:val="20"/>
      </w:rPr>
      <w:tab/>
    </w:r>
    <w:r>
      <w:rPr>
        <w:rFonts w:ascii="Gill Sans" w:cs="Arial Unicode MS" w:hAnsi="Gill Sans" w:eastAsia="Arial Unicode MS"/>
        <w:b w:val="0"/>
        <w:bCs w:val="0"/>
        <w:i w:val="1"/>
        <w:iCs w:val="1"/>
        <w:sz w:val="22"/>
        <w:szCs w:val="22"/>
        <w:rtl w:val="0"/>
        <w:lang w:val="en-US"/>
      </w:rPr>
      <w:t>dbrose2025</w:t>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sz w:val="26"/>
          <w:szCs w:val="26"/>
          <w:vertAlign w:val="superscript"/>
        </w:rPr>
        <w:footnoteRef/>
      </w:r>
      <w:r>
        <w:rPr>
          <w:rFonts w:cs="Arial Unicode MS" w:eastAsia="Arial Unicode MS"/>
          <w:sz w:val="26"/>
          <w:szCs w:val="26"/>
          <w:rtl w:val="0"/>
          <w:lang w:val="en-US"/>
        </w:rPr>
        <w:t xml:space="preserve"> </w:t>
      </w:r>
      <w:r>
        <w:rPr>
          <w:rFonts w:cs="Arial Unicode MS" w:eastAsia="Arial Unicode MS"/>
          <w:rtl w:val="0"/>
          <w:lang w:val="en-US"/>
        </w:rPr>
        <w:t xml:space="preserve"> </w:t>
      </w:r>
      <w:r>
        <w:rPr>
          <w:rFonts w:cs="Arial Unicode MS" w:eastAsia="Arial Unicode MS"/>
          <w:rtl w:val="0"/>
          <w:lang w:val="en-US"/>
        </w:rPr>
        <w:t>Oddly enough, there was no mention of the OAC in an otherwise excellent History of Public Archaeology in Ohio, by P. Nick Kardulias (Ohio Journal 1-30 Volume 98/Summer-Autumn 1989).</w:t>
      </w:r>
    </w:p>
  </w:footnote>
  <w:footnote w:id="2">
    <w:p>
      <w:pPr>
        <w:pStyle w:val="Footnote"/>
        <w:bidi w:val="0"/>
      </w:pPr>
      <w:r>
        <w:rPr>
          <w:vertAlign w:val="superscript"/>
        </w:rPr>
        <w:footnoteRef/>
      </w:r>
      <w:r>
        <w:rPr>
          <w:rFonts w:cs="Arial Unicode MS" w:eastAsia="Arial Unicode MS"/>
          <w:rtl w:val="0"/>
          <w:lang w:val="en-US"/>
        </w:rPr>
        <w:t xml:space="preserve">  </w:t>
      </w:r>
      <w:r>
        <w:rPr>
          <w:rFonts w:cs="Arial Unicode MS" w:eastAsia="Arial Unicode MS"/>
          <w:rtl w:val="0"/>
          <w:lang w:val="en-US"/>
        </w:rPr>
        <w:t>Prufer had planned to follow his wife and daughter back to Cleveland but instead settled with his colleagues at Kent State.</w:t>
      </w:r>
      <w:r>
        <w:rPr>
          <w:rFonts w:cs="Arial Unicode MS" w:eastAsia="Arial Unicode MS"/>
          <w:rtl w:val="0"/>
          <w:lang w:val="en-US"/>
        </w:rPr>
        <w:t xml:space="preserve"> He</w:t>
      </w:r>
      <w:r>
        <w:rPr>
          <w:rFonts w:cs="Arial Unicode MS" w:eastAsia="Arial Unicode MS"/>
          <w:rtl w:val="0"/>
          <w:lang w:val="en-US"/>
        </w:rPr>
        <w:t xml:space="preserve"> generously provided several Kent State students to help my exploratory excavations at the </w:t>
      </w:r>
      <w:r>
        <w:rPr>
          <w:rFonts w:cs="Arial Unicode MS" w:eastAsia="Arial Unicode MS"/>
          <w:rtl w:val="0"/>
          <w:lang w:val="en-US"/>
        </w:rPr>
        <w:t xml:space="preserve">historical glassworks, although subsequently misrepresenting many prehistoric site publications. </w:t>
      </w:r>
      <w:r>
        <w:rPr>
          <w:rFonts w:cs="Arial Unicode MS" w:eastAsia="Arial Unicode MS"/>
          <w:rtl w:val="0"/>
          <w:lang w:val="en-US"/>
        </w:rPr>
        <w:t xml:space="preserve">I expect my reluctance to </w:t>
      </w:r>
      <w:r>
        <w:rPr>
          <w:rFonts w:cs="Arial Unicode MS" w:eastAsia="Arial Unicode MS"/>
          <w:rtl w:val="0"/>
          <w:lang w:val="en-US"/>
        </w:rPr>
        <w:t xml:space="preserve">limit research </w:t>
      </w:r>
      <w:r>
        <w:rPr>
          <w:rFonts w:cs="Arial Unicode MS" w:eastAsia="Arial Unicode MS"/>
          <w:rtl w:val="0"/>
          <w:lang w:val="en-US"/>
        </w:rPr>
        <w:t>sparked the covert antipathy which culminated in Prufer</w:t>
      </w:r>
      <w:r>
        <w:rPr>
          <w:rFonts w:cs="Arial Unicode MS" w:eastAsia="Arial Unicode MS" w:hint="default"/>
          <w:rtl w:val="0"/>
        </w:rPr>
        <w:t>’</w:t>
      </w:r>
      <w:r>
        <w:rPr>
          <w:rFonts w:cs="Arial Unicode MS" w:eastAsia="Arial Unicode MS"/>
          <w:rtl w:val="0"/>
        </w:rPr>
        <w:t xml:space="preserve">s </w:t>
      </w:r>
      <w:r>
        <w:rPr>
          <w:rFonts w:cs="Arial Unicode MS" w:eastAsia="Arial Unicode MS"/>
          <w:rtl w:val="0"/>
          <w:lang w:val="en-US"/>
        </w:rPr>
        <w:t>mis</w:t>
      </w:r>
      <w:r>
        <w:rPr>
          <w:rFonts w:cs="Arial Unicode MS" w:eastAsia="Arial Unicode MS"/>
          <w:rtl w:val="0"/>
          <w:lang w:val="en-US"/>
        </w:rPr>
        <w:t xml:space="preserve">statements regarding the PaleoCrossing site at Dague Farm, and his </w:t>
      </w:r>
      <w:r>
        <w:rPr>
          <w:rFonts w:cs="Arial Unicode MS" w:eastAsia="Arial Unicode MS"/>
          <w:rtl w:val="0"/>
          <w:lang w:val="en-US"/>
        </w:rPr>
        <w:t>reluctance to acknowledge</w:t>
      </w:r>
      <w:r>
        <w:rPr>
          <w:rFonts w:cs="Arial Unicode MS" w:eastAsia="Arial Unicode MS"/>
          <w:rtl w:val="0"/>
        </w:rPr>
        <w:t xml:space="preserve"> </w:t>
      </w:r>
      <w:r>
        <w:rPr>
          <w:rFonts w:cs="Arial Unicode MS" w:eastAsia="Arial Unicode MS"/>
          <w:rtl w:val="0"/>
          <w:lang w:val="en-US"/>
        </w:rPr>
        <w:t xml:space="preserve">our </w:t>
      </w:r>
      <w:r>
        <w:rPr>
          <w:rFonts w:cs="Arial Unicode MS" w:eastAsia="Arial Unicode MS"/>
          <w:rtl w:val="0"/>
          <w:lang w:val="en-US"/>
        </w:rPr>
        <w:t>collaborative report on the ceramic ecology of the Libben site.</w:t>
      </w:r>
    </w:p>
  </w:footnote>
  <w:footnote w:id="3">
    <w:p>
      <w:pPr>
        <w:pStyle w:val="Footnote"/>
        <w:bidi w:val="0"/>
      </w:pPr>
      <w:r>
        <w:rPr>
          <w:vertAlign w:val="superscript"/>
        </w:rPr>
        <w:footnoteRef/>
      </w:r>
      <w:r>
        <w:rPr>
          <w:rFonts w:cs="Arial Unicode MS" w:eastAsia="Arial Unicode MS"/>
          <w:rtl w:val="0"/>
          <w:lang w:val="en-US"/>
        </w:rPr>
        <w:t xml:space="preserve">  </w:t>
      </w:r>
      <w:r>
        <w:rPr>
          <w:rFonts w:cs="Arial Unicode MS" w:eastAsia="Arial Unicode MS"/>
          <w:rtl w:val="0"/>
          <w:lang w:val="en-US"/>
        </w:rPr>
        <w:t xml:space="preserve">Greg Wentzel and Bruce Rippeteau actually </w:t>
      </w:r>
      <w:r>
        <w:rPr>
          <w:rFonts w:cs="Arial Unicode MS" w:eastAsia="Arial Unicode MS"/>
          <w:rtl w:val="0"/>
          <w:lang w:val="en-US"/>
        </w:rPr>
        <w:t xml:space="preserve">tested </w:t>
      </w:r>
      <w:r>
        <w:rPr>
          <w:rFonts w:cs="Arial Unicode MS" w:eastAsia="Arial Unicode MS"/>
          <w:rtl w:val="0"/>
          <w:lang w:val="en-US"/>
        </w:rPr>
        <w:t>site locales across NW Pennsylvania into NY state</w:t>
      </w:r>
      <w:r>
        <w:rPr>
          <w:rFonts w:cs="Arial Unicode MS" w:eastAsia="Arial Unicode MS"/>
          <w:rtl w:val="0"/>
          <w:lang w:val="en-US"/>
        </w:rPr>
        <w:t>.</w:t>
      </w:r>
    </w:p>
  </w:footnote>
  <w:footnote w:id="4">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The </w:t>
      </w:r>
      <w:r>
        <w:rPr>
          <w:rFonts w:cs="Arial Unicode MS" w:eastAsia="Arial Unicode MS"/>
          <w:rtl w:val="0"/>
        </w:rPr>
        <w:t xml:space="preserve">symposium </w:t>
      </w:r>
      <w:r>
        <w:rPr>
          <w:rFonts w:cs="Arial Unicode MS" w:eastAsia="Arial Unicode MS"/>
          <w:rtl w:val="0"/>
          <w:lang w:val="en-US"/>
        </w:rPr>
        <w:t xml:space="preserve">was </w:t>
      </w:r>
      <w:r>
        <w:rPr>
          <w:rFonts w:cs="Arial Unicode MS" w:eastAsia="Arial Unicode MS"/>
          <w:rtl w:val="0"/>
          <w:lang w:val="en-US"/>
        </w:rPr>
        <w:t>not published until 1976 giving a least one participant several years to present the work of his colleagues as</w:t>
      </w:r>
      <w:r>
        <w:rPr>
          <w:rFonts w:cs="Arial Unicode MS" w:eastAsia="Arial Unicode MS"/>
          <w:rtl w:val="0"/>
          <w:lang w:val="en-US"/>
        </w:rPr>
        <w:t xml:space="preserve"> it were </w:t>
      </w:r>
      <w:r>
        <w:rPr>
          <w:rFonts w:cs="Arial Unicode MS" w:eastAsia="Arial Unicode MS"/>
          <w:rtl w:val="0"/>
          <w:lang w:val="en-US"/>
        </w:rPr>
        <w:t>his, alon</w:t>
      </w:r>
      <w:r>
        <w:rPr>
          <w:rFonts w:cs="Arial Unicode MS" w:eastAsia="Arial Unicode MS"/>
          <w:rtl w:val="0"/>
          <w:lang w:val="en-US"/>
        </w:rPr>
        <w:t>e.</w:t>
      </w:r>
    </w:p>
  </w:footnote>
  <w:footnote w:id="5">
    <w:p>
      <w:pPr>
        <w:pStyle w:val="Footnote"/>
        <w:bidi w:val="0"/>
      </w:pPr>
      <w:r>
        <w:rPr>
          <w:vertAlign w:val="superscript"/>
        </w:rPr>
        <w:footnoteRef/>
      </w:r>
      <w:r>
        <w:rPr>
          <w:rFonts w:cs="Arial Unicode MS" w:eastAsia="Arial Unicode MS"/>
          <w:rtl w:val="0"/>
          <w:lang w:val="en-US"/>
        </w:rPr>
        <w:t xml:space="preserve">  Dave </w:t>
      </w:r>
      <w:r>
        <w:rPr>
          <w:rFonts w:cs="Arial Unicode MS" w:eastAsia="Arial Unicode MS"/>
          <w:rtl w:val="0"/>
          <w:lang w:val="en-US"/>
        </w:rPr>
        <w:t xml:space="preserve">Stothers </w:t>
      </w:r>
      <w:r>
        <w:rPr>
          <w:rFonts w:cs="Arial Unicode MS" w:eastAsia="Arial Unicode MS"/>
          <w:rtl w:val="0"/>
          <w:lang w:val="en-US"/>
        </w:rPr>
        <w:t>was at T</w:t>
      </w:r>
      <w:r>
        <w:rPr>
          <w:rFonts w:cs="Arial Unicode MS" w:eastAsia="Arial Unicode MS"/>
          <w:rtl w:val="0"/>
        </w:rPr>
        <w:t xml:space="preserve">oledo to </w:t>
      </w:r>
      <w:r>
        <w:rPr>
          <w:rFonts w:cs="Arial Unicode MS" w:eastAsia="Arial Unicode MS"/>
          <w:rtl w:val="0"/>
          <w:lang w:val="en-US"/>
        </w:rPr>
        <w:t>integrate Western Basin Late Woodland complexes into his Ph.D. Princess Point dissertation (Earl Prahl and I had maintained graduate school collegiality while working on Monroe County, Michigan and on Kelley</w:t>
      </w:r>
      <w:r>
        <w:rPr>
          <w:rFonts w:cs="Arial Unicode MS" w:eastAsia="Arial Unicode MS" w:hint="default"/>
          <w:rtl w:val="0"/>
          <w:lang w:val="en-US"/>
        </w:rPr>
        <w:t xml:space="preserve">’ </w:t>
      </w:r>
      <w:r>
        <w:rPr>
          <w:rFonts w:cs="Arial Unicode MS" w:eastAsia="Arial Unicode MS"/>
          <w:rtl w:val="0"/>
          <w:lang w:val="en-US"/>
        </w:rPr>
        <w:t xml:space="preserve">Island); </w:t>
      </w:r>
      <w:r>
        <w:rPr>
          <w:rFonts w:cs="Arial Unicode MS" w:eastAsia="Arial Unicode MS"/>
          <w:rtl w:val="0"/>
        </w:rPr>
        <w:t xml:space="preserve">Mike Pratt </w:t>
      </w:r>
      <w:r>
        <w:rPr>
          <w:rFonts w:cs="Arial Unicode MS" w:eastAsia="Arial Unicode MS"/>
          <w:rtl w:val="0"/>
          <w:lang w:val="en-US"/>
        </w:rPr>
        <w:t xml:space="preserve">had begun study of ceramic complexes from </w:t>
      </w:r>
      <w:r>
        <w:rPr>
          <w:rFonts w:cs="Arial Unicode MS" w:eastAsia="Arial Unicode MS"/>
          <w:rtl w:val="0"/>
          <w:lang w:val="en-US"/>
        </w:rPr>
        <w:t xml:space="preserve">the </w:t>
      </w:r>
      <w:r>
        <w:rPr>
          <w:rFonts w:cs="Arial Unicode MS" w:eastAsia="Arial Unicode MS"/>
          <w:rtl w:val="0"/>
          <w:lang w:val="en-US"/>
        </w:rPr>
        <w:t xml:space="preserve">Huron and Sandusky River Valleys;  </w:t>
      </w:r>
      <w:r>
        <w:rPr>
          <w:rFonts w:cs="Arial Unicode MS" w:eastAsia="Arial Unicode MS"/>
          <w:rtl w:val="0"/>
          <w:lang w:val="en-US"/>
        </w:rPr>
        <w:t xml:space="preserve">Don Bier and John Scarry </w:t>
      </w:r>
      <w:r>
        <w:rPr>
          <w:rFonts w:cs="Arial Unicode MS" w:eastAsia="Arial Unicode MS"/>
          <w:rtl w:val="0"/>
          <w:lang w:val="en-US"/>
        </w:rPr>
        <w:t xml:space="preserve">were engaged in field work along the lower portions of the </w:t>
      </w:r>
      <w:r>
        <w:rPr>
          <w:rFonts w:cs="Arial Unicode MS" w:eastAsia="Arial Unicode MS"/>
          <w:rtl w:val="0"/>
          <w:lang w:val="en-US"/>
        </w:rPr>
        <w:t xml:space="preserve">Black and </w:t>
      </w:r>
      <w:r>
        <w:rPr>
          <w:rFonts w:cs="Arial Unicode MS" w:eastAsia="Arial Unicode MS"/>
          <w:rtl w:val="0"/>
          <w:lang w:val="en-US"/>
        </w:rPr>
        <w:t xml:space="preserve">Vermillion Rivers;  Donna Lynn Benson was studying early historic occupations along the middle Ohio River valley; </w:t>
      </w:r>
      <w:r>
        <w:rPr>
          <w:rFonts w:cs="Arial Unicode MS" w:eastAsia="Arial Unicode MS"/>
          <w:rtl w:val="0"/>
          <w:lang w:val="en-US"/>
        </w:rPr>
        <w:t xml:space="preserve">Jeff Graybill </w:t>
      </w:r>
      <w:r>
        <w:rPr>
          <w:rFonts w:cs="Arial Unicode MS" w:eastAsia="Arial Unicode MS"/>
          <w:rtl w:val="0"/>
          <w:lang w:val="en-US"/>
        </w:rPr>
        <w:t xml:space="preserve">was looking at early Middle Woodland sites </w:t>
      </w:r>
      <w:r>
        <w:rPr>
          <w:rFonts w:cs="Arial Unicode MS" w:eastAsia="Arial Unicode MS"/>
          <w:rtl w:val="0"/>
          <w:lang w:val="en-US"/>
        </w:rPr>
        <w:t xml:space="preserve">in the upper Mahoning </w:t>
      </w:r>
      <w:r>
        <w:rPr>
          <w:rFonts w:cs="Arial Unicode MS" w:eastAsia="Arial Unicode MS"/>
          <w:rtl w:val="0"/>
          <w:lang w:val="en-US"/>
        </w:rPr>
        <w:t>Ri</w:t>
      </w:r>
      <w:r>
        <w:rPr>
          <w:rFonts w:cs="Arial Unicode MS" w:eastAsia="Arial Unicode MS"/>
          <w:rtl w:val="0"/>
        </w:rPr>
        <w:t>ver</w:t>
      </w:r>
      <w:r>
        <w:rPr>
          <w:rFonts w:cs="Arial Unicode MS" w:eastAsia="Arial Unicode MS"/>
          <w:rtl w:val="0"/>
          <w:lang w:val="en-US"/>
        </w:rPr>
        <w:t>, and</w:t>
      </w:r>
      <w:r>
        <w:rPr>
          <w:rFonts w:cs="Arial Unicode MS" w:eastAsia="Arial Unicode MS"/>
          <w:rtl w:val="0"/>
          <w:lang w:val="en-US"/>
        </w:rPr>
        <w:t xml:space="preserve"> Pat Essenpreis was starting her thesis on the Fort Ancient Anderson Village in the Miami River valley</w:t>
      </w:r>
      <w:r>
        <w:rPr>
          <w:rFonts w:cs="Arial Unicode MS" w:eastAsia="Arial Unicode MS"/>
          <w:rtl w:val="0"/>
          <w:lang w:val="en-US"/>
        </w:rPr>
        <w:t xml:space="preserve">, while, with the reluctant encouragement of J. B. Griffin, </w:t>
      </w:r>
      <w:r>
        <w:rPr>
          <w:rFonts w:cs="Arial Unicode MS" w:eastAsia="Arial Unicode MS"/>
          <w:rtl w:val="0"/>
        </w:rPr>
        <w:t>N</w:t>
      </w:r>
      <w:r>
        <w:rPr>
          <w:rFonts w:cs="Arial Unicode MS" w:eastAsia="Arial Unicode MS" w:hint="default"/>
          <w:rtl w:val="0"/>
        </w:rPr>
        <w:t>’</w:t>
      </w:r>
      <w:r>
        <w:rPr>
          <w:rFonts w:cs="Arial Unicode MS" w:eastAsia="Arial Unicode MS"/>
          <w:rtl w:val="0"/>
          <w:lang w:val="en-US"/>
        </w:rPr>
        <w:t>Omi Greber was beginning her Ohio Hopewell studies in the Scioto River valley</w:t>
      </w:r>
      <w:r>
        <w:rPr>
          <w:rFonts w:cs="Arial Unicode MS" w:eastAsia="Arial Unicode MS"/>
          <w:rtl w:val="0"/>
          <w:lang w:val="en-US"/>
        </w:rPr>
        <w:t>.</w:t>
      </w:r>
    </w:p>
  </w:footnote>
  <w:footnote w:id="6">
    <w:p>
      <w:pPr>
        <w:pStyle w:val="Footnote"/>
        <w:bidi w:val="0"/>
      </w:pPr>
      <w:r>
        <w:rPr>
          <w:vertAlign w:val="superscript"/>
        </w:rPr>
        <w:footnoteRef/>
      </w:r>
      <w:r>
        <w:rPr>
          <w:rFonts w:cs="Arial Unicode MS" w:eastAsia="Arial Unicode MS"/>
          <w:rtl w:val="0"/>
          <w:lang w:val="en-US"/>
        </w:rPr>
        <w:t xml:space="preserve">  The long-deferred retirement of JBGriffin in late 1972, was followed by</w:t>
      </w:r>
      <w:r>
        <w:rPr>
          <w:rFonts w:cs="Arial Unicode MS" w:eastAsia="Arial Unicode MS"/>
          <w:rtl w:val="0"/>
          <w:lang w:val="it-IT"/>
        </w:rPr>
        <w:t xml:space="preserve"> Ed Wilmsen</w:t>
      </w:r>
      <w:r>
        <w:rPr>
          <w:rFonts w:cs="Arial Unicode MS" w:eastAsia="Arial Unicode MS" w:hint="default"/>
          <w:rtl w:val="0"/>
          <w:lang w:val="en-US"/>
        </w:rPr>
        <w:t>’</w:t>
      </w:r>
      <w:r>
        <w:rPr>
          <w:rFonts w:cs="Arial Unicode MS" w:eastAsia="Arial Unicode MS"/>
          <w:rtl w:val="0"/>
          <w:lang w:val="en-US"/>
        </w:rPr>
        <w:t>s  editorial decision to shift</w:t>
      </w:r>
      <w:r>
        <w:rPr>
          <w:rFonts w:cs="Arial Unicode MS" w:eastAsia="Arial Unicode MS"/>
          <w:i w:val="1"/>
          <w:iCs w:val="1"/>
          <w:rtl w:val="0"/>
          <w:lang w:val="en-US"/>
        </w:rPr>
        <w:t xml:space="preserve"> American Antiquity </w:t>
      </w:r>
      <w:r>
        <w:rPr>
          <w:rFonts w:cs="Arial Unicode MS" w:eastAsia="Arial Unicode MS"/>
          <w:rtl w:val="0"/>
          <w:lang w:val="en-US"/>
        </w:rPr>
        <w:t>from actual data presentations to theoretical interpretations [of what I took to be poorly conceptualized classificatory systems].  At those SAA conferences I worked with an array of colleagues: James Stoltman, Jim Brown, Berle Clay, Charles Faulkner, Jeff Brain, Chris Ellis, and Howard Winters</w:t>
      </w:r>
      <w:r>
        <w:rPr>
          <w:rFonts w:cs="Arial Unicode MS" w:eastAsia="Arial Unicode MS" w:hint="default"/>
          <w:rtl w:val="0"/>
          <w:lang w:val="en-US"/>
        </w:rPr>
        <w:t xml:space="preserve">… </w:t>
      </w:r>
      <w:r>
        <w:rPr>
          <w:rFonts w:cs="Arial Unicode MS" w:eastAsia="Arial Unicode MS"/>
          <w:rtl w:val="0"/>
          <w:lang w:val="en-US"/>
        </w:rPr>
        <w:t xml:space="preserve">to develop what in 1976 became the </w:t>
      </w:r>
      <w:r>
        <w:rPr>
          <w:rFonts w:cs="Arial Unicode MS" w:eastAsia="Arial Unicode MS"/>
          <w:i w:val="1"/>
          <w:iCs w:val="1"/>
          <w:rtl w:val="0"/>
          <w:lang w:val="en-US"/>
        </w:rPr>
        <w:t xml:space="preserve">Mid-Continental </w:t>
      </w:r>
      <w:r>
        <w:rPr>
          <w:rFonts w:cs="Arial Unicode MS" w:eastAsia="Arial Unicode MS"/>
          <w:i w:val="1"/>
          <w:iCs w:val="1"/>
          <w:rtl w:val="0"/>
          <w:lang w:val="en-US"/>
        </w:rPr>
        <w:t>Journal of Archaeolog</w:t>
      </w:r>
      <w:r>
        <w:rPr>
          <w:rFonts w:cs="Arial Unicode MS" w:eastAsia="Arial Unicode MS"/>
          <w:i w:val="1"/>
          <w:iCs w:val="1"/>
          <w:rtl w:val="0"/>
          <w:lang w:val="en-US"/>
        </w:rPr>
        <w:t>y</w:t>
      </w:r>
      <w:r>
        <w:rPr>
          <w:rFonts w:cs="Arial Unicode MS" w:eastAsia="Arial Unicode MS"/>
          <w:rtl w:val="0"/>
          <w:lang w:val="en-US"/>
        </w:rPr>
        <w:t xml:space="preserve"> (recall this was years before the SEAC had any regional journal).</w:t>
      </w:r>
    </w:p>
  </w:footnote>
  <w:footnote w:id="7">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 xml:space="preserve">  W</w:t>
      </w:r>
      <w:r>
        <w:rPr>
          <w:rFonts w:cs="Arial Unicode MS" w:eastAsia="Arial Unicode MS"/>
          <w:rtl w:val="0"/>
          <w:lang w:val="en-US"/>
        </w:rPr>
        <w:t>e met at a</w:t>
      </w:r>
      <w:r>
        <w:rPr>
          <w:rFonts w:cs="Arial Unicode MS" w:eastAsia="Arial Unicode MS"/>
          <w:rtl w:val="0"/>
          <w:lang w:val="en-US"/>
        </w:rPr>
        <w:t xml:space="preserve"> 1974 </w:t>
      </w:r>
      <w:r>
        <w:rPr>
          <w:rFonts w:cs="Arial Unicode MS" w:eastAsia="Arial Unicode MS"/>
          <w:rtl w:val="0"/>
          <w:lang w:val="en-US"/>
        </w:rPr>
        <w:t>SAA symposium on northwest Florida</w:t>
      </w:r>
      <w:r>
        <w:rPr>
          <w:rFonts w:cs="Arial Unicode MS" w:eastAsia="Arial Unicode MS"/>
          <w:rtl w:val="0"/>
          <w:lang w:val="en-US"/>
        </w:rPr>
        <w:t xml:space="preserve">, having </w:t>
      </w:r>
      <w:r>
        <w:rPr>
          <w:rFonts w:cs="Arial Unicode MS" w:eastAsia="Arial Unicode MS"/>
          <w:rtl w:val="0"/>
          <w:lang w:val="en-US"/>
        </w:rPr>
        <w:t>tested the same Apalachicola River mounds</w:t>
      </w:r>
      <w:r>
        <w:rPr>
          <w:rFonts w:cs="Arial Unicode MS" w:eastAsia="Arial Unicode MS"/>
          <w:rtl w:val="0"/>
          <w:lang w:val="en-US"/>
        </w:rPr>
        <w:t>,</w:t>
      </w:r>
      <w:r>
        <w:rPr>
          <w:rFonts w:cs="Arial Unicode MS" w:eastAsia="Arial Unicode MS"/>
          <w:rtl w:val="0"/>
          <w:lang w:val="en-US"/>
        </w:rPr>
        <w:t xml:space="preserve"> 10 years apart</w:t>
      </w:r>
      <w:r>
        <w:rPr>
          <w:rFonts w:cs="Arial Unicode MS" w:eastAsia="Arial Unicode MS"/>
          <w:rtl w:val="0"/>
          <w:lang w:val="en-US"/>
        </w:rPr>
        <w: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rPr>
        <w:rtl w:val="0"/>
        <w:lang w:val="en-US"/>
      </w:rPr>
      <w:t>Starting the Ohio Archaeological Council Last C</w:t>
    </w:r>
    <w:r>
      <w:rPr>
        <w:rtl w:val="0"/>
      </w:rPr>
      <w:t>entury</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